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11-03-05.4/2248 от 24.04.2020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left="5664" w:hanging="986"/>
        <w:jc w:val="right"/>
        <w:rPr>
          <w:rFonts w:ascii="Times New Roman CYR" w:hAnsi="Times New Roman CYR" w:cs="Times New Roman CYR"/>
          <w:b/>
          <w:bCs/>
          <w:sz w:val="28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4"/>
          <w:lang w:val="kk-KZ"/>
        </w:rPr>
        <w:t xml:space="preserve">АО </w:t>
      </w:r>
      <w:r>
        <w:rPr>
          <w:rFonts w:ascii="Times New Roman CYR" w:hAnsi="Times New Roman CYR" w:cs="Times New Roman CYR"/>
          <w:b/>
          <w:bCs/>
          <w:sz w:val="28"/>
          <w:szCs w:val="24"/>
        </w:rPr>
        <w:t>«Казахстанская фондовая биржа»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left="5664" w:hanging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left="5664" w:hanging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Настоящим  (Акционерное общество "Фонд национального благосостояния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Самрук-</w:t>
      </w:r>
      <w:r>
        <w:rPr>
          <w:rFonts w:ascii="Cambria" w:hAnsi="Cambria" w:cs="Cambria"/>
          <w:sz w:val="28"/>
          <w:szCs w:val="28"/>
        </w:rPr>
        <w:t>Қ</w:t>
      </w:r>
      <w:r>
        <w:rPr>
          <w:rFonts w:ascii="Times New Roman CYR" w:hAnsi="Times New Roman CYR" w:cs="Times New Roman CYR"/>
          <w:sz w:val="28"/>
          <w:szCs w:val="28"/>
        </w:rPr>
        <w:t>азына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(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БИН 081140000436, Казахстан, 010000,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Есильский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район, г. Астана, ул. Е10, д. 17/10, тел: +7 (7172) 554-002, веб-сайт: s-k.kz</w:t>
      </w:r>
      <w:r>
        <w:rPr>
          <w:rFonts w:ascii="Times New Roman CYR" w:hAnsi="Times New Roman CYR" w:cs="Times New Roman CYR"/>
          <w:sz w:val="28"/>
          <w:szCs w:val="28"/>
        </w:rPr>
        <w:t xml:space="preserve">) направляет текст информационного сообщения «Информация о решении, принятом советом директоров эмитента или соответствующего органа эмитента, не являющегося акционерным обществом, уполномоченным на принятие решения о размещении (реализации) акций, в том числе о количестве размещаемых (реализуемых) акций в пределах количества объявленных акций, способе и цене их размещения (реализации)»  на русском, казахском, английском языке(ах), для размещения/опубликования его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интернет-ресурсе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Депозитария финансовой отчетности, представляющего собой средство массовой информации согласно определению, данному в подпункте 3) пункта 2 Правил раскрытия эмитентом информации, утвержденных постановлением Правления Национального Банка Республики Казахстан от 27 августа 2018 года № 189. 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Заголовок (рус):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о решении, принятом советом директоров эмитента или соответствующего органа эмитента, не являющегося акционерным обществом, уполномоченным на принятие решения о размещении (реализации) акций, в том числе о количестве размещаемых (реализуемых) акций в пределах количества объявленных акций, способе и цене их размещения (реализации)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Тақырыбы (қаз):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Эмитенттің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директорлар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кеңесі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қабылдаған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акционерлік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қоғам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болып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табылмайтын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эмитенттің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акционерлердің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қатысушылардың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sz w:val="28"/>
          <w:szCs w:val="28"/>
        </w:rPr>
        <w:t>орналастыру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өткізу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</w:rPr>
        <w:t>оның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ішінде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жарияланған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акциялардың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саны </w:t>
      </w:r>
      <w:proofErr w:type="spellStart"/>
      <w:r>
        <w:rPr>
          <w:rFonts w:ascii="Times New Roman" w:hAnsi="Times New Roman"/>
          <w:bCs/>
          <w:sz w:val="28"/>
          <w:szCs w:val="28"/>
        </w:rPr>
        <w:t>шегінде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орналастырылатын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өткізілетін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sz w:val="28"/>
          <w:szCs w:val="28"/>
        </w:rPr>
        <w:t>акциялардың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саны, </w:t>
      </w:r>
      <w:proofErr w:type="spellStart"/>
      <w:r>
        <w:rPr>
          <w:rFonts w:ascii="Times New Roman" w:hAnsi="Times New Roman"/>
          <w:bCs/>
          <w:sz w:val="28"/>
          <w:szCs w:val="28"/>
        </w:rPr>
        <w:t>оларды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орналастыру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өткізу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sz w:val="28"/>
          <w:szCs w:val="28"/>
        </w:rPr>
        <w:t>тәсілі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bCs/>
          <w:sz w:val="28"/>
          <w:szCs w:val="28"/>
        </w:rPr>
        <w:t>бағасы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қабылдауға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уәкілеттік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берілген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тиісті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органының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шешімі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ақпарат</w:t>
      </w:r>
      <w:proofErr w:type="spellEnd"/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Текст (рус):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66E" w:rsidRDefault="0034166E" w:rsidP="003416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органа эмитента, принявшего решение</w:t>
      </w:r>
      <w:r>
        <w:rPr>
          <w:rStyle w:val="s0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</w:rPr>
        <w:t>Совет директоров АО "</w:t>
      </w:r>
      <w:proofErr w:type="spellStart"/>
      <w:r>
        <w:rPr>
          <w:rFonts w:ascii="Times New Roman" w:hAnsi="Times New Roman"/>
          <w:sz w:val="28"/>
          <w:szCs w:val="28"/>
        </w:rPr>
        <w:t>Самрук-Қазына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>
        <w:rPr>
          <w:rStyle w:val="s0"/>
          <w:sz w:val="28"/>
          <w:szCs w:val="28"/>
        </w:rPr>
        <w:t>;</w:t>
      </w:r>
    </w:p>
    <w:p w:rsidR="0034166E" w:rsidRDefault="0034166E" w:rsidP="003416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принятия решения </w:t>
      </w:r>
      <w:r>
        <w:rPr>
          <w:rStyle w:val="s0"/>
          <w:sz w:val="28"/>
          <w:szCs w:val="28"/>
        </w:rPr>
        <w:t>– 07 апреля</w:t>
      </w:r>
      <w:r>
        <w:rPr>
          <w:rFonts w:ascii="Times New Roman" w:hAnsi="Times New Roman"/>
          <w:sz w:val="28"/>
          <w:szCs w:val="28"/>
        </w:rPr>
        <w:t xml:space="preserve"> 2020 года</w:t>
      </w:r>
      <w:r>
        <w:rPr>
          <w:rStyle w:val="s0"/>
          <w:sz w:val="28"/>
          <w:szCs w:val="28"/>
        </w:rPr>
        <w:t xml:space="preserve">; </w:t>
      </w:r>
    </w:p>
    <w:p w:rsidR="0034166E" w:rsidRDefault="0034166E" w:rsidP="003416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(решения), принятое (принятые) советом директоров</w:t>
      </w:r>
      <w:r>
        <w:rPr>
          <w:rStyle w:val="s0"/>
          <w:b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</w:rPr>
        <w:t>разместить в пределах количества объявленных акций АО «</w:t>
      </w:r>
      <w:proofErr w:type="spellStart"/>
      <w:r>
        <w:rPr>
          <w:rFonts w:ascii="Times New Roman" w:hAnsi="Times New Roman"/>
          <w:sz w:val="28"/>
          <w:szCs w:val="28"/>
        </w:rPr>
        <w:t>Самрук-Қазына</w:t>
      </w:r>
      <w:proofErr w:type="spellEnd"/>
      <w:r>
        <w:rPr>
          <w:rFonts w:ascii="Times New Roman" w:hAnsi="Times New Roman"/>
          <w:sz w:val="28"/>
          <w:szCs w:val="28"/>
        </w:rPr>
        <w:t>» 1 750 (одна</w:t>
      </w:r>
      <w:r>
        <w:rPr>
          <w:rFonts w:ascii="Times New Roman" w:hAnsi="Times New Roman"/>
          <w:sz w:val="28"/>
          <w:szCs w:val="28"/>
          <w:lang w:val="kk-KZ"/>
        </w:rPr>
        <w:t xml:space="preserve"> тысяча семьсот пятьдесят</w:t>
      </w:r>
      <w:r>
        <w:rPr>
          <w:rFonts w:ascii="Times New Roman" w:hAnsi="Times New Roman"/>
          <w:sz w:val="28"/>
          <w:szCs w:val="28"/>
        </w:rPr>
        <w:t>) штук простых акций АО «</w:t>
      </w:r>
      <w:proofErr w:type="spellStart"/>
      <w:r>
        <w:rPr>
          <w:rFonts w:ascii="Times New Roman" w:hAnsi="Times New Roman"/>
          <w:sz w:val="28"/>
          <w:szCs w:val="28"/>
        </w:rPr>
        <w:t>Самрук-Қазына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lastRenderedPageBreak/>
        <w:t xml:space="preserve">по цене 465 216 (четыреста шестьдесят пять тысяч двести </w:t>
      </w:r>
      <w:proofErr w:type="spellStart"/>
      <w:r>
        <w:rPr>
          <w:rFonts w:ascii="Times New Roman" w:hAnsi="Times New Roman"/>
          <w:sz w:val="28"/>
          <w:szCs w:val="28"/>
        </w:rPr>
        <w:t>шеснадцать</w:t>
      </w:r>
      <w:proofErr w:type="spellEnd"/>
      <w:r>
        <w:rPr>
          <w:rFonts w:ascii="Times New Roman" w:hAnsi="Times New Roman"/>
          <w:sz w:val="28"/>
          <w:szCs w:val="28"/>
        </w:rPr>
        <w:t>) тенге за одну простую акцию путем реализации права преимущественной покупки акций Единственным акционером АО «</w:t>
      </w:r>
      <w:proofErr w:type="spellStart"/>
      <w:r>
        <w:rPr>
          <w:rFonts w:ascii="Times New Roman" w:hAnsi="Times New Roman"/>
          <w:sz w:val="28"/>
          <w:szCs w:val="28"/>
        </w:rPr>
        <w:t>Самрук-Қазына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Style w:val="s0"/>
          <w:sz w:val="28"/>
          <w:szCs w:val="28"/>
          <w:lang w:val="kk-KZ"/>
        </w:rPr>
        <w:t>;</w:t>
      </w:r>
    </w:p>
    <w:p w:rsidR="0034166E" w:rsidRDefault="0034166E" w:rsidP="003416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вид размещаемых (реализуемых) акций</w:t>
      </w:r>
      <w:r>
        <w:rPr>
          <w:rFonts w:ascii="Times New Roman" w:hAnsi="Times New Roman"/>
          <w:sz w:val="28"/>
          <w:szCs w:val="28"/>
        </w:rPr>
        <w:t xml:space="preserve"> – простые акции;</w:t>
      </w:r>
    </w:p>
    <w:p w:rsidR="0034166E" w:rsidRDefault="0034166E" w:rsidP="0034166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размещаемых (реализуемых) акций</w:t>
      </w:r>
      <w:r>
        <w:rPr>
          <w:rFonts w:ascii="Times New Roman" w:hAnsi="Times New Roman"/>
          <w:sz w:val="28"/>
          <w:szCs w:val="28"/>
        </w:rPr>
        <w:t xml:space="preserve"> – 1 750 штук;</w:t>
      </w:r>
    </w:p>
    <w:p w:rsidR="0034166E" w:rsidRDefault="0034166E" w:rsidP="003416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размещения</w:t>
      </w:r>
      <w:r>
        <w:rPr>
          <w:rFonts w:ascii="Times New Roman" w:hAnsi="Times New Roman"/>
          <w:sz w:val="28"/>
          <w:szCs w:val="28"/>
        </w:rPr>
        <w:t xml:space="preserve"> - реализация права преимущественной покупки акций Единственным акционером АО «</w:t>
      </w:r>
      <w:proofErr w:type="spellStart"/>
      <w:r>
        <w:rPr>
          <w:rFonts w:ascii="Times New Roman" w:hAnsi="Times New Roman"/>
          <w:sz w:val="28"/>
          <w:szCs w:val="28"/>
        </w:rPr>
        <w:t>Самрук-Қазына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4166E" w:rsidRDefault="0034166E" w:rsidP="003416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цена размещения (реализации)</w:t>
      </w:r>
      <w:r>
        <w:rPr>
          <w:rFonts w:ascii="Times New Roman" w:hAnsi="Times New Roman"/>
          <w:sz w:val="28"/>
          <w:szCs w:val="28"/>
        </w:rPr>
        <w:t xml:space="preserve"> – 465 216 </w:t>
      </w:r>
      <w:r>
        <w:rPr>
          <w:rFonts w:ascii="Times New Roman" w:hAnsi="Times New Roman"/>
          <w:sz w:val="28"/>
          <w:szCs w:val="28"/>
          <w:lang w:val="kk-KZ"/>
        </w:rPr>
        <w:t>теңге</w:t>
      </w:r>
      <w:r>
        <w:rPr>
          <w:rFonts w:ascii="Times New Roman" w:hAnsi="Times New Roman"/>
          <w:sz w:val="28"/>
          <w:szCs w:val="28"/>
        </w:rPr>
        <w:t>;</w:t>
      </w:r>
    </w:p>
    <w:p w:rsidR="0034166E" w:rsidRDefault="0034166E" w:rsidP="003416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сведения при необходимости</w:t>
      </w:r>
      <w:r>
        <w:rPr>
          <w:rFonts w:ascii="Times New Roman" w:hAnsi="Times New Roman"/>
          <w:sz w:val="28"/>
          <w:szCs w:val="28"/>
        </w:rPr>
        <w:t xml:space="preserve"> – нет.</w:t>
      </w:r>
    </w:p>
    <w:p w:rsidR="0034166E" w:rsidRDefault="0034166E" w:rsidP="0034166E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Мәтін (қаз):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166E" w:rsidRDefault="0034166E" w:rsidP="0034166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Шешім қабылдаған эмитент органының атауы </w:t>
      </w:r>
      <w:r>
        <w:rPr>
          <w:rStyle w:val="s0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"Самұрық-Қазына" АҚ Директорлар кеңесі</w:t>
      </w:r>
      <w:r>
        <w:rPr>
          <w:rStyle w:val="s0"/>
          <w:sz w:val="28"/>
          <w:szCs w:val="28"/>
          <w:lang w:val="kk-KZ"/>
        </w:rPr>
        <w:t>;</w:t>
      </w:r>
    </w:p>
    <w:p w:rsidR="0034166E" w:rsidRDefault="0034166E" w:rsidP="0034166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шешім қабылданған күн </w:t>
      </w:r>
      <w:r>
        <w:rPr>
          <w:rStyle w:val="s0"/>
          <w:b/>
          <w:sz w:val="28"/>
          <w:szCs w:val="28"/>
          <w:lang w:val="kk-KZ"/>
        </w:rPr>
        <w:t xml:space="preserve">– </w:t>
      </w:r>
      <w:r>
        <w:rPr>
          <w:rStyle w:val="s0"/>
          <w:sz w:val="28"/>
          <w:szCs w:val="28"/>
          <w:lang w:val="kk-KZ"/>
        </w:rPr>
        <w:t xml:space="preserve">07 саүір </w:t>
      </w:r>
      <w:r>
        <w:rPr>
          <w:rFonts w:ascii="Times New Roman" w:hAnsi="Times New Roman"/>
          <w:sz w:val="28"/>
          <w:szCs w:val="28"/>
          <w:lang w:val="kk-KZ"/>
        </w:rPr>
        <w:t xml:space="preserve"> 2020 ж.</w:t>
      </w:r>
      <w:r>
        <w:rPr>
          <w:rStyle w:val="s0"/>
          <w:sz w:val="28"/>
          <w:szCs w:val="28"/>
          <w:lang w:val="kk-KZ"/>
        </w:rPr>
        <w:t xml:space="preserve">; </w:t>
      </w:r>
    </w:p>
    <w:p w:rsidR="0034166E" w:rsidRDefault="0034166E" w:rsidP="0034166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кеңесімен қабылданған шешім (шешімдер)</w:t>
      </w:r>
      <w:r>
        <w:rPr>
          <w:rStyle w:val="s0"/>
          <w:b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«Самұрық-Қазына» АҚ Жалғыз акционерінің акцияларды сатып алуда басым құқығымен өткізу арқылы бір жай акцияның бағасы 465 216 (төрт жүз алпыс бес мың екі жү он алты) теңге болатын «Самұрық-Қазына» АҚ-ның 1 750  (бір мың жеті жүз елу) жай акциясын «Самұрық-Қазына» АҚ-ның жарияланған акциялар саны шегінде орналастыру;</w:t>
      </w:r>
    </w:p>
    <w:p w:rsidR="0034166E" w:rsidRPr="0034166E" w:rsidRDefault="0034166E" w:rsidP="0034166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орналастырылатын (өткізілетін) акциялардың түрі</w:t>
      </w:r>
      <w:r>
        <w:rPr>
          <w:rFonts w:ascii="Times New Roman" w:hAnsi="Times New Roman"/>
          <w:sz w:val="28"/>
          <w:szCs w:val="28"/>
          <w:lang w:val="kk-KZ"/>
        </w:rPr>
        <w:t xml:space="preserve"> – жай акциялар;</w:t>
      </w:r>
    </w:p>
    <w:p w:rsidR="0034166E" w:rsidRDefault="0034166E" w:rsidP="0034166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орналастырылатын (өткізілетін) акциялардың саны</w:t>
      </w:r>
      <w:r>
        <w:rPr>
          <w:rFonts w:ascii="Times New Roman" w:hAnsi="Times New Roman"/>
          <w:sz w:val="28"/>
          <w:szCs w:val="28"/>
          <w:lang w:val="kk-KZ"/>
        </w:rPr>
        <w:t xml:space="preserve"> – 1 </w:t>
      </w:r>
      <w:r>
        <w:rPr>
          <w:rFonts w:ascii="Times New Roman" w:hAnsi="Times New Roman"/>
          <w:sz w:val="28"/>
          <w:szCs w:val="28"/>
        </w:rPr>
        <w:t>750</w:t>
      </w:r>
      <w:r>
        <w:rPr>
          <w:rFonts w:ascii="Times New Roman" w:hAnsi="Times New Roman"/>
          <w:sz w:val="28"/>
          <w:szCs w:val="28"/>
          <w:lang w:val="kk-KZ"/>
        </w:rPr>
        <w:t xml:space="preserve"> дана;</w:t>
      </w:r>
    </w:p>
    <w:p w:rsidR="0034166E" w:rsidRDefault="0034166E" w:rsidP="0034166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орналастыру тәсілі</w:t>
      </w:r>
      <w:r>
        <w:rPr>
          <w:rFonts w:ascii="Times New Roman" w:hAnsi="Times New Roman"/>
          <w:sz w:val="28"/>
          <w:szCs w:val="28"/>
          <w:lang w:val="kk-KZ"/>
        </w:rPr>
        <w:t xml:space="preserve"> - "Самұрық-Қазына" АҚ Жалғыз акционерінің акцияларды сатып алуда басым құқығын іске асыру;</w:t>
      </w:r>
    </w:p>
    <w:p w:rsidR="0034166E" w:rsidRDefault="0034166E" w:rsidP="0034166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орналастыру (өткізу) бағасы, теңге</w:t>
      </w:r>
      <w:r>
        <w:rPr>
          <w:rFonts w:ascii="Times New Roman" w:hAnsi="Times New Roman"/>
          <w:sz w:val="28"/>
          <w:szCs w:val="28"/>
          <w:lang w:val="kk-KZ"/>
        </w:rPr>
        <w:t xml:space="preserve"> – 465 216 теңге;</w:t>
      </w:r>
    </w:p>
    <w:p w:rsidR="0034166E" w:rsidRPr="0034166E" w:rsidRDefault="0034166E" w:rsidP="0034166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қажет болған кезде өзге де мәліметтер </w:t>
      </w:r>
      <w:r>
        <w:rPr>
          <w:rFonts w:ascii="Times New Roman" w:hAnsi="Times New Roman"/>
          <w:sz w:val="28"/>
          <w:szCs w:val="28"/>
          <w:lang w:val="kk-KZ"/>
        </w:rPr>
        <w:t>– жоқ.</w:t>
      </w:r>
    </w:p>
    <w:p w:rsidR="0034166E" w:rsidRPr="0034166E" w:rsidRDefault="0034166E" w:rsidP="0034166E">
      <w:pPr>
        <w:spacing w:after="0" w:line="240" w:lineRule="auto"/>
        <w:ind w:firstLine="709"/>
        <w:jc w:val="both"/>
        <w:rPr>
          <w:b/>
          <w:lang w:val="kk-KZ"/>
        </w:rPr>
      </w:pPr>
    </w:p>
    <w:p w:rsidR="0034166E" w:rsidRDefault="0034166E" w:rsidP="003416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Управляющий директор 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экономике и финансам-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Правления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DD1E0F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Б. </w:t>
      </w:r>
      <w:proofErr w:type="spellStart"/>
      <w:r>
        <w:rPr>
          <w:rFonts w:ascii="Times New Roman" w:hAnsi="Times New Roman"/>
          <w:b/>
          <w:sz w:val="28"/>
          <w:szCs w:val="28"/>
        </w:rPr>
        <w:t>Карымсаков</w:t>
      </w:r>
      <w:proofErr w:type="spellEnd"/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4166E" w:rsidRDefault="0034166E" w:rsidP="0034166E">
      <w:pPr>
        <w:spacing w:after="0" w:line="240" w:lineRule="auto"/>
        <w:rPr>
          <w:rFonts w:ascii="Times New Roman" w:eastAsia="Times New Roman" w:hAnsi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/>
          <w:i/>
          <w:sz w:val="16"/>
          <w:szCs w:val="18"/>
          <w:lang w:eastAsia="ru-RU"/>
        </w:rPr>
        <w:t xml:space="preserve">Исп. </w:t>
      </w:r>
      <w:r>
        <w:rPr>
          <w:rFonts w:ascii="Times New Roman" w:eastAsia="Times New Roman" w:hAnsi="Times New Roman"/>
          <w:i/>
          <w:sz w:val="16"/>
          <w:szCs w:val="18"/>
          <w:lang w:val="kk-KZ" w:eastAsia="ru-RU"/>
        </w:rPr>
        <w:t>Талько С.Р</w:t>
      </w:r>
      <w:r>
        <w:rPr>
          <w:rFonts w:ascii="Times New Roman" w:eastAsia="Times New Roman" w:hAnsi="Times New Roman"/>
          <w:i/>
          <w:sz w:val="16"/>
          <w:szCs w:val="18"/>
          <w:lang w:eastAsia="ru-RU"/>
        </w:rPr>
        <w:t>.</w:t>
      </w:r>
    </w:p>
    <w:p w:rsidR="0034166E" w:rsidRDefault="0034166E" w:rsidP="0034166E">
      <w:pPr>
        <w:spacing w:after="0" w:line="240" w:lineRule="auto"/>
        <w:rPr>
          <w:sz w:val="20"/>
          <w:lang w:val="en-US"/>
        </w:rPr>
      </w:pPr>
      <w:r>
        <w:rPr>
          <w:rFonts w:ascii="Times New Roman" w:eastAsia="Times New Roman" w:hAnsi="Times New Roman"/>
          <w:i/>
          <w:sz w:val="16"/>
          <w:szCs w:val="18"/>
          <w:lang w:val="en-US" w:eastAsia="ru-RU"/>
        </w:rPr>
        <w:t>+ 7 7172 55 40 85</w:t>
      </w:r>
    </w:p>
    <w:p w:rsidR="00F40934" w:rsidRPr="008E4276" w:rsidRDefault="0034166E" w:rsidP="0034166E">
      <w:pPr>
        <w:pStyle w:val="aa"/>
        <w:ind w:firstLine="0"/>
        <w:rPr>
          <w:b/>
          <w:bCs/>
        </w:rPr>
      </w:pPr>
      <w:proofErr w:type="gramStart"/>
      <w:r>
        <w:rPr>
          <w:rFonts w:eastAsia="Calibri"/>
          <w:i/>
          <w:sz w:val="16"/>
          <w:lang w:val="en-US" w:eastAsia="en-US"/>
        </w:rPr>
        <w:t>e-mail</w:t>
      </w:r>
      <w:proofErr w:type="gramEnd"/>
      <w:r>
        <w:rPr>
          <w:rFonts w:eastAsia="Calibri"/>
          <w:i/>
          <w:sz w:val="16"/>
          <w:lang w:val="en-US" w:eastAsia="en-US"/>
        </w:rPr>
        <w:t>: S.Talko@sk.kz</w:t>
      </w:r>
    </w:p>
    <w:p w:rsidR="00F40934" w:rsidRPr="008E4276" w:rsidRDefault="00F40934" w:rsidP="00F4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0934" w:rsidRPr="008E4276" w:rsidRDefault="00F40934" w:rsidP="00F4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0934" w:rsidRPr="008E4276" w:rsidRDefault="00F40934" w:rsidP="00F4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0934" w:rsidRPr="008E4276" w:rsidRDefault="00F40934" w:rsidP="00F4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0934" w:rsidRPr="008E4276" w:rsidRDefault="00F40934" w:rsidP="00F4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0934" w:rsidRPr="008E4276" w:rsidRDefault="00F40934" w:rsidP="00F4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0934" w:rsidRPr="008E4276" w:rsidRDefault="00F40934" w:rsidP="00F40934">
      <w:pPr>
        <w:rPr>
          <w:rFonts w:ascii="Times New Roman" w:hAnsi="Times New Roman"/>
          <w:sz w:val="28"/>
          <w:szCs w:val="28"/>
        </w:rPr>
      </w:pPr>
    </w:p>
    <w:p w:rsidR="00F40934" w:rsidRPr="008E4276" w:rsidRDefault="00F40934" w:rsidP="00F40934">
      <w:pPr>
        <w:rPr>
          <w:rFonts w:ascii="Times New Roman" w:hAnsi="Times New Roman"/>
          <w:sz w:val="28"/>
          <w:szCs w:val="28"/>
        </w:rPr>
      </w:pPr>
    </w:p>
    <w:p w:rsidR="00F40934" w:rsidRPr="008E4276" w:rsidRDefault="00F40934" w:rsidP="00F40934">
      <w:pPr>
        <w:rPr>
          <w:rFonts w:ascii="Times New Roman" w:hAnsi="Times New Roman"/>
          <w:b/>
          <w:bCs/>
          <w:sz w:val="28"/>
          <w:szCs w:val="28"/>
        </w:rPr>
      </w:pPr>
    </w:p>
    <w:sectPr w:rsidR="00F40934" w:rsidRPr="008E4276" w:rsidSect="008054CF">
      <w:headerReference w:type="first" r:id="rId8"/>
      <w:footerReference w:type="first" r:id="rId9"/>
      <w:pgSz w:w="11906" w:h="16838"/>
      <w:pgMar w:top="1134" w:right="851" w:bottom="1134" w:left="1418" w:header="142" w:footer="57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23.04.2020 12:24 Шарипов Тимур Сабржанович - 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23.04.2020 14:32 Саткалиев Алмасадам - Согласовано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24.04.2020 14:09 Карымсаков Бейбит Еркинбаевич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C5" w:rsidRDefault="00CF2AC5" w:rsidP="00C21AB0">
      <w:pPr>
        <w:spacing w:after="0" w:line="240" w:lineRule="auto"/>
      </w:pPr>
      <w:r>
        <w:separator/>
      </w:r>
    </w:p>
  </w:endnote>
  <w:endnote w:type="continuationSeparator" w:id="0">
    <w:p w:rsidR="00CF2AC5" w:rsidRDefault="00CF2AC5" w:rsidP="00C2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CF" w:rsidRDefault="001057B8">
    <w:pPr>
      <w:pStyle w:val="a7"/>
    </w:pPr>
    <w:r w:rsidRPr="00780C74">
      <w:rPr>
        <w:noProof/>
        <w:lang w:eastAsia="ru-RU"/>
      </w:rPr>
      <w:drawing>
        <wp:inline distT="0" distB="0" distL="0" distR="0">
          <wp:extent cx="5844540" cy="670560"/>
          <wp:effectExtent l="0" t="0" r="3810" b="0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24.04.2020 14:48. Копия электронного документа. Версия СЭД: Documentolog 7.4.10.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24.04.2020 14:48. Копия электронного документа. Версия СЭД: Documentolog 7.4.10.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C5" w:rsidRDefault="00CF2AC5" w:rsidP="00C21AB0">
      <w:pPr>
        <w:spacing w:after="0" w:line="240" w:lineRule="auto"/>
      </w:pPr>
      <w:r>
        <w:separator/>
      </w:r>
    </w:p>
  </w:footnote>
  <w:footnote w:type="continuationSeparator" w:id="0">
    <w:p w:rsidR="00CF2AC5" w:rsidRDefault="00CF2AC5" w:rsidP="00C2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CF" w:rsidRDefault="001057B8">
    <w:pPr>
      <w:pStyle w:val="a5"/>
    </w:pPr>
    <w:r w:rsidRPr="00780C74">
      <w:rPr>
        <w:noProof/>
        <w:lang w:eastAsia="ru-RU"/>
      </w:rPr>
      <w:drawing>
        <wp:inline distT="0" distB="0" distL="0" distR="0">
          <wp:extent cx="6179820" cy="2179320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217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D9A"/>
    <w:multiLevelType w:val="hybridMultilevel"/>
    <w:tmpl w:val="2202EF64"/>
    <w:lvl w:ilvl="0" w:tplc="8F5C2F8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F13E1"/>
    <w:multiLevelType w:val="multilevel"/>
    <w:tmpl w:val="9F7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0595A"/>
    <w:multiLevelType w:val="hybridMultilevel"/>
    <w:tmpl w:val="2202EF64"/>
    <w:lvl w:ilvl="0" w:tplc="8F5C2F8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B0"/>
    <w:rsid w:val="00004047"/>
    <w:rsid w:val="00016040"/>
    <w:rsid w:val="0002763A"/>
    <w:rsid w:val="00074583"/>
    <w:rsid w:val="00083E3A"/>
    <w:rsid w:val="00093DF1"/>
    <w:rsid w:val="000A0700"/>
    <w:rsid w:val="000A76E9"/>
    <w:rsid w:val="000F474D"/>
    <w:rsid w:val="001057B8"/>
    <w:rsid w:val="00113559"/>
    <w:rsid w:val="00143A35"/>
    <w:rsid w:val="00147D71"/>
    <w:rsid w:val="00164B09"/>
    <w:rsid w:val="00172FD2"/>
    <w:rsid w:val="00175801"/>
    <w:rsid w:val="00177E5B"/>
    <w:rsid w:val="001E53CC"/>
    <w:rsid w:val="002040B1"/>
    <w:rsid w:val="00214F03"/>
    <w:rsid w:val="00223B9C"/>
    <w:rsid w:val="00223E9A"/>
    <w:rsid w:val="00240715"/>
    <w:rsid w:val="002440E4"/>
    <w:rsid w:val="0025506A"/>
    <w:rsid w:val="0025618A"/>
    <w:rsid w:val="0026740C"/>
    <w:rsid w:val="0028188D"/>
    <w:rsid w:val="002B4C6F"/>
    <w:rsid w:val="002B69E6"/>
    <w:rsid w:val="002D374F"/>
    <w:rsid w:val="002E34AC"/>
    <w:rsid w:val="0034166E"/>
    <w:rsid w:val="00356746"/>
    <w:rsid w:val="00364956"/>
    <w:rsid w:val="00386B59"/>
    <w:rsid w:val="003878DD"/>
    <w:rsid w:val="00390B68"/>
    <w:rsid w:val="003A054A"/>
    <w:rsid w:val="003A798C"/>
    <w:rsid w:val="003C0387"/>
    <w:rsid w:val="003C0BE8"/>
    <w:rsid w:val="003F5CA6"/>
    <w:rsid w:val="003F6A58"/>
    <w:rsid w:val="004009A8"/>
    <w:rsid w:val="0041667B"/>
    <w:rsid w:val="00417535"/>
    <w:rsid w:val="004451B0"/>
    <w:rsid w:val="004638E1"/>
    <w:rsid w:val="00463A99"/>
    <w:rsid w:val="00466E09"/>
    <w:rsid w:val="0047632C"/>
    <w:rsid w:val="00477E93"/>
    <w:rsid w:val="00486F5E"/>
    <w:rsid w:val="004C5D63"/>
    <w:rsid w:val="004E64D9"/>
    <w:rsid w:val="00503619"/>
    <w:rsid w:val="0050536B"/>
    <w:rsid w:val="00505489"/>
    <w:rsid w:val="0051143E"/>
    <w:rsid w:val="005405AD"/>
    <w:rsid w:val="00541317"/>
    <w:rsid w:val="005F0694"/>
    <w:rsid w:val="005F53C7"/>
    <w:rsid w:val="00606C43"/>
    <w:rsid w:val="00630986"/>
    <w:rsid w:val="00645D2A"/>
    <w:rsid w:val="006515CC"/>
    <w:rsid w:val="00653F3F"/>
    <w:rsid w:val="00657000"/>
    <w:rsid w:val="006610FC"/>
    <w:rsid w:val="00661B8B"/>
    <w:rsid w:val="0067313B"/>
    <w:rsid w:val="00682FD8"/>
    <w:rsid w:val="006B179E"/>
    <w:rsid w:val="006C220E"/>
    <w:rsid w:val="006D0A85"/>
    <w:rsid w:val="006D1261"/>
    <w:rsid w:val="007018C1"/>
    <w:rsid w:val="0074640A"/>
    <w:rsid w:val="00747A02"/>
    <w:rsid w:val="00751DA9"/>
    <w:rsid w:val="00764674"/>
    <w:rsid w:val="007A2458"/>
    <w:rsid w:val="007A30C7"/>
    <w:rsid w:val="007C00D9"/>
    <w:rsid w:val="007D4B38"/>
    <w:rsid w:val="007D7BF1"/>
    <w:rsid w:val="007F24E8"/>
    <w:rsid w:val="008054CF"/>
    <w:rsid w:val="00822F1E"/>
    <w:rsid w:val="00827A54"/>
    <w:rsid w:val="00835B46"/>
    <w:rsid w:val="00836D9A"/>
    <w:rsid w:val="008528AD"/>
    <w:rsid w:val="008654D6"/>
    <w:rsid w:val="008A3CEA"/>
    <w:rsid w:val="008C268A"/>
    <w:rsid w:val="008C7E58"/>
    <w:rsid w:val="008D0F6D"/>
    <w:rsid w:val="008E4276"/>
    <w:rsid w:val="008F73AB"/>
    <w:rsid w:val="00902B28"/>
    <w:rsid w:val="009303EB"/>
    <w:rsid w:val="00934FB4"/>
    <w:rsid w:val="00965BC8"/>
    <w:rsid w:val="0096781A"/>
    <w:rsid w:val="0097120B"/>
    <w:rsid w:val="00972DA6"/>
    <w:rsid w:val="00986A2D"/>
    <w:rsid w:val="009B5496"/>
    <w:rsid w:val="009B7573"/>
    <w:rsid w:val="009C6FD0"/>
    <w:rsid w:val="009D0ABA"/>
    <w:rsid w:val="009E4809"/>
    <w:rsid w:val="009F6418"/>
    <w:rsid w:val="00A805D2"/>
    <w:rsid w:val="00A95D88"/>
    <w:rsid w:val="00AA46A6"/>
    <w:rsid w:val="00AA4C36"/>
    <w:rsid w:val="00AC7174"/>
    <w:rsid w:val="00B3044E"/>
    <w:rsid w:val="00B35DF5"/>
    <w:rsid w:val="00B503CE"/>
    <w:rsid w:val="00B50FF3"/>
    <w:rsid w:val="00B603FF"/>
    <w:rsid w:val="00B82230"/>
    <w:rsid w:val="00B84460"/>
    <w:rsid w:val="00BC014A"/>
    <w:rsid w:val="00BC42DA"/>
    <w:rsid w:val="00BF5BA4"/>
    <w:rsid w:val="00C102AB"/>
    <w:rsid w:val="00C1236A"/>
    <w:rsid w:val="00C15646"/>
    <w:rsid w:val="00C21AB0"/>
    <w:rsid w:val="00C25710"/>
    <w:rsid w:val="00C4028D"/>
    <w:rsid w:val="00C4634D"/>
    <w:rsid w:val="00C51D86"/>
    <w:rsid w:val="00C64F0C"/>
    <w:rsid w:val="00C67DD7"/>
    <w:rsid w:val="00C714C3"/>
    <w:rsid w:val="00C9007B"/>
    <w:rsid w:val="00C9401F"/>
    <w:rsid w:val="00CB1980"/>
    <w:rsid w:val="00CE4F44"/>
    <w:rsid w:val="00CF2AC5"/>
    <w:rsid w:val="00D300A3"/>
    <w:rsid w:val="00D402D3"/>
    <w:rsid w:val="00D701D7"/>
    <w:rsid w:val="00D70EFD"/>
    <w:rsid w:val="00D90E19"/>
    <w:rsid w:val="00D96730"/>
    <w:rsid w:val="00DA71BE"/>
    <w:rsid w:val="00DD1E0F"/>
    <w:rsid w:val="00E1300D"/>
    <w:rsid w:val="00E423C8"/>
    <w:rsid w:val="00E5738B"/>
    <w:rsid w:val="00EB053E"/>
    <w:rsid w:val="00EE3A89"/>
    <w:rsid w:val="00EF0A27"/>
    <w:rsid w:val="00F3551D"/>
    <w:rsid w:val="00F40934"/>
    <w:rsid w:val="00F428FC"/>
    <w:rsid w:val="00F708D5"/>
    <w:rsid w:val="00F87599"/>
    <w:rsid w:val="00F9104D"/>
    <w:rsid w:val="00F959CD"/>
    <w:rsid w:val="00FE5A68"/>
    <w:rsid w:val="00FF5665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2D01A-DF0C-4712-A899-EDEA7B1F4DA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1A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B0"/>
  </w:style>
  <w:style w:type="paragraph" w:styleId="a7">
    <w:name w:val="footer"/>
    <w:basedOn w:val="a"/>
    <w:link w:val="a8"/>
    <w:uiPriority w:val="99"/>
    <w:unhideWhenUsed/>
    <w:rsid w:val="00C2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B0"/>
  </w:style>
  <w:style w:type="character" w:styleId="a9">
    <w:name w:val="Hyperlink"/>
    <w:uiPriority w:val="99"/>
    <w:unhideWhenUsed/>
    <w:rsid w:val="00764674"/>
    <w:rPr>
      <w:color w:val="0563C1"/>
      <w:u w:val="single"/>
    </w:rPr>
  </w:style>
  <w:style w:type="paragraph" w:styleId="aa">
    <w:name w:val="Body Text Indent"/>
    <w:basedOn w:val="a"/>
    <w:link w:val="ab"/>
    <w:unhideWhenUsed/>
    <w:rsid w:val="0034166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166E"/>
    <w:rPr>
      <w:rFonts w:ascii="Times New Roman" w:eastAsia="Times New Roman" w:hAnsi="Times New Roman"/>
      <w:sz w:val="28"/>
      <w:szCs w:val="28"/>
    </w:rPr>
  </w:style>
  <w:style w:type="character" w:customStyle="1" w:styleId="s0">
    <w:name w:val="s0"/>
    <w:rsid w:val="003416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997" Type="http://schemas.openxmlformats.org/officeDocument/2006/relationships/footer" Target="footer2.xml"/><Relationship Id="rId996" Type="http://schemas.openxmlformats.org/officeDocument/2006/relationships/footer" Target="footer3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7E4F-EC5F-4B6A-B881-1FF7C0BE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cp:lastModifiedBy>Talko, Sergey</cp:lastModifiedBy>
  <cp:revision>4</cp:revision>
  <cp:lastPrinted>2019-07-17T11:53:00Z</cp:lastPrinted>
  <dcterms:created xsi:type="dcterms:W3CDTF">2020-04-23T05:54:00Z</dcterms:created>
  <dcterms:modified xsi:type="dcterms:W3CDTF">2020-04-23T05:59:00Z</dcterms:modified>
</cp:coreProperties>
</file>