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Инструкция по подключению  к контуру торгово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клиринговой системы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MOEX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для фондового рынка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KASE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Проверить доступность контура ТКС 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MOEX</w:t>
      </w:r>
      <w:r>
        <w:rPr>
          <w:rFonts w:ascii="Arial" w:hAnsi="Arial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по 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Telnet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: 79.142.60.227 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port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15005;</w:t>
      </w:r>
    </w:p>
    <w:p>
      <w:pPr>
        <w:pStyle w:val="List Paragraph"/>
        <w:ind w:left="432" w:firstLine="0"/>
        <w:jc w:val="both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Если доступ не открыт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обратитесь к своей тех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поддержке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)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ind w:left="432" w:firstLine="0"/>
        <w:jc w:val="both"/>
        <w:rPr>
          <w:rFonts w:ascii="Arial" w:cs="Arial" w:hAnsi="Arial" w:eastAsia="Arial"/>
          <w:sz w:val="28"/>
          <w:szCs w:val="28"/>
        </w:rPr>
      </w:pPr>
      <w:r>
        <w:drawing>
          <wp:inline distT="0" distB="0" distL="0" distR="0">
            <wp:extent cx="5477774" cy="126744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74" cy="1267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ind w:left="432" w:firstLine="0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Arial" w:hAnsi="Arial" w:hint="default"/>
          <w:b w:val="0"/>
          <w:bCs w:val="0"/>
          <w:sz w:val="28"/>
          <w:szCs w:val="28"/>
          <w:rtl w:val="0"/>
          <w:lang w:val="ru-RU"/>
        </w:rPr>
        <w:t>Для того чтобы подключиться к контуру торговой системы</w:t>
      </w:r>
      <w:r>
        <w:rPr>
          <w:rFonts w:ascii="Arial" w:hAnsi="Arial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8"/>
          <w:szCs w:val="28"/>
          <w:rtl w:val="0"/>
          <w:lang w:val="ru-RU"/>
        </w:rPr>
        <w:t xml:space="preserve">необходимо скачать установочный пакет с сайта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KASE</w:t>
      </w:r>
      <w:r>
        <w:rPr>
          <w:rFonts w:ascii="Arial" w:hAnsi="Arial"/>
          <w:b w:val="0"/>
          <w:bCs w:val="0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Установите дистибутив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Запустите установленное ПО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Далее в открывшемся окне необходимо изменить параметры подключения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см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Arial" w:hAnsi="Arial"/>
          <w:sz w:val="28"/>
          <w:szCs w:val="28"/>
          <w:rtl w:val="0"/>
          <w:lang w:val="ru-RU"/>
        </w:rPr>
        <w:t>1);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3164840" cy="1908175"/>
            <wp:effectExtent l="0" t="0" r="0" b="0"/>
            <wp:docPr id="1073741826" name="officeArt object" descr="cid:image001.png@01D501CC.557F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d:image001.png@01D501CC.557F7430" descr="cid:image001.png@01D501CC.557F7430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90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Рисунок </w:t>
      </w:r>
      <w:r>
        <w:rPr>
          <w:rFonts w:ascii="Arial" w:hAnsi="Arial"/>
          <w:rtl w:val="0"/>
          <w:lang w:val="ru-RU"/>
        </w:rPr>
        <w:t>1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Нажмите на кнопку «Настроить параметры подключения»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Arial" w:hAnsi="Arial"/>
          <w:sz w:val="28"/>
          <w:szCs w:val="28"/>
          <w:rtl w:val="0"/>
          <w:lang w:val="ru-RU"/>
        </w:rPr>
        <w:t xml:space="preserve">2); 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ind w:left="0" w:firstLine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</w:rPr>
        <w:drawing>
          <wp:inline distT="0" distB="0" distL="0" distR="0">
            <wp:extent cx="3260090" cy="2695575"/>
            <wp:effectExtent l="0" t="0" r="0" b="0"/>
            <wp:docPr id="1073741827" name="officeArt object" descr="cid:image002.png@01D501CC.557F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d:image002.png@01D501CC.557F7430" descr="cid:image002.png@01D501CC.557F743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69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Рисунок </w:t>
      </w:r>
      <w:r>
        <w:rPr>
          <w:rFonts w:ascii="Arial" w:hAnsi="Arial"/>
          <w:rtl w:val="0"/>
          <w:lang w:val="ru-RU"/>
        </w:rPr>
        <w:t>2</w:t>
      </w:r>
    </w:p>
    <w:p>
      <w:pPr>
        <w:pStyle w:val="List Paragraph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В следующем окне «Параметры» во вкладке «Подключение» нажмите на кнопку «Добавить»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Рисунок </w:t>
      </w:r>
      <w:r>
        <w:rPr>
          <w:rFonts w:ascii="Arial" w:hAnsi="Arial"/>
          <w:sz w:val="28"/>
          <w:szCs w:val="28"/>
          <w:rtl w:val="0"/>
          <w:lang w:val="ru-RU"/>
        </w:rPr>
        <w:t>3);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</w:rPr>
        <w:drawing>
          <wp:inline distT="0" distB="0" distL="0" distR="0">
            <wp:extent cx="3291840" cy="3498850"/>
            <wp:effectExtent l="0" t="0" r="0" b="0"/>
            <wp:docPr id="1073741828" name="officeArt object" descr="cid:image004.jpg@01D501CC.FF24DD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id:image004.jpg@01D501CC.FF24DDE0" descr="cid:image004.jpg@01D501CC.FF24DDE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9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Рисунок </w:t>
      </w:r>
      <w:r>
        <w:rPr>
          <w:rFonts w:ascii="Arial" w:hAnsi="Arial"/>
          <w:rtl w:val="0"/>
          <w:lang w:val="ru-RU"/>
        </w:rPr>
        <w:t>3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поле «Наименование профиля» введите </w:t>
      </w:r>
      <w:r>
        <w:rPr>
          <w:rFonts w:ascii="Arial" w:hAnsi="Arial"/>
          <w:sz w:val="28"/>
          <w:szCs w:val="28"/>
          <w:rtl w:val="0"/>
          <w:lang w:val="ru-RU"/>
        </w:rPr>
        <w:t xml:space="preserve">KASE_BRIDGE, </w:t>
      </w:r>
      <w:r>
        <w:rPr>
          <w:rFonts w:ascii="Arial" w:hAnsi="Arial" w:hint="default"/>
          <w:sz w:val="28"/>
          <w:szCs w:val="28"/>
          <w:rtl w:val="0"/>
          <w:lang w:val="ru-RU"/>
        </w:rPr>
        <w:t>ниже выберите способ подключения «Через шлюз»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после заполните поля «Список серверов доступа» и «Идентификатор сервера» в соответствии с Рисунком </w:t>
      </w:r>
      <w:r>
        <w:rPr>
          <w:rFonts w:ascii="Arial" w:hAnsi="Arial"/>
          <w:sz w:val="28"/>
          <w:szCs w:val="28"/>
          <w:rtl w:val="0"/>
          <w:lang w:val="ru-RU"/>
        </w:rPr>
        <w:t xml:space="preserve">4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нажмите на кнопку «Да»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drawing>
          <wp:inline distT="0" distB="0" distL="0" distR="0">
            <wp:extent cx="3331598" cy="3331598"/>
            <wp:effectExtent l="0" t="0" r="0" b="0"/>
            <wp:docPr id="1073741829" name="officeArt object" descr="C:\Users\bernar.magauin\Pictures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bernar.magauin\Pictures\1.png" descr="C:\Users\bernar.magauin\Pictures\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98" cy="3331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Рисунок </w:t>
      </w:r>
      <w:r>
        <w:rPr>
          <w:rFonts w:ascii="Arial" w:hAnsi="Arial"/>
          <w:rtl w:val="0"/>
          <w:lang w:val="ru-RU"/>
        </w:rPr>
        <w:t>4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Далее в окне «Регистрация в Торговой Системе» «Подключение к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» должно быть </w:t>
      </w:r>
      <w:r>
        <w:rPr>
          <w:rFonts w:ascii="Arial" w:hAnsi="Arial"/>
          <w:sz w:val="28"/>
          <w:szCs w:val="28"/>
          <w:rtl w:val="0"/>
          <w:lang w:val="ru-RU"/>
        </w:rPr>
        <w:t>KASE_BRIDGE (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Рисунке </w:t>
      </w:r>
      <w:r>
        <w:rPr>
          <w:rFonts w:ascii="Arial" w:hAnsi="Arial"/>
          <w:sz w:val="28"/>
          <w:szCs w:val="28"/>
          <w:rtl w:val="0"/>
          <w:lang w:val="ru-RU"/>
        </w:rPr>
        <w:t xml:space="preserve">5); 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</w:rPr>
        <w:drawing>
          <wp:inline distT="0" distB="0" distL="0" distR="0">
            <wp:extent cx="3275965" cy="2727325"/>
            <wp:effectExtent l="0" t="0" r="0" b="0"/>
            <wp:docPr id="1073741830" name="officeArt object" descr="cid:image009.png@01D501CC.B9650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id:image009.png@01D501CC.B9650820" descr="cid:image009.png@01D501CC.B965082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72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Рисунок </w:t>
      </w:r>
      <w:r>
        <w:rPr>
          <w:rFonts w:ascii="Arial" w:hAnsi="Arial"/>
          <w:rtl w:val="0"/>
          <w:lang w:val="ru-RU"/>
        </w:rPr>
        <w:t>5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Далее введите Имя участника и пароль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для того чтобы получить Имя участника и пароль оформите заявку на  </w: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</w:rPr>
        <w:instrText xml:space="preserve"> HYPERLINK "mailto:support@kase.kz"</w:instrTex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ru-RU"/>
        </w:rPr>
        <w:t>support@kase.kz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Fonts w:ascii="Arial" w:hAnsi="Arial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Нажмите кнопку «Да»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Поздравляем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Вы зарегистрировались в Торговой Системе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!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</w:pPr>
      <w:r>
        <w:rPr>
          <w:rFonts w:ascii="Arial" w:cs="Arial" w:hAnsi="Arial" w:eastAsia="Arial"/>
        </w:rPr>
      </w:r>
    </w:p>
    <w:sectPr>
      <w:headerReference w:type="default" r:id="rId10"/>
      <w:footerReference w:type="default" r:id="rId11"/>
      <w:pgSz w:w="11900" w:h="16840" w:orient="portrait"/>
      <w:pgMar w:top="1440" w:right="1440" w:bottom="1440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72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32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92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