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15" w:rsidRDefault="00BA3415" w:rsidP="00BA3415">
      <w:pPr>
        <w:pageBreakBefore/>
        <w:spacing w:after="120"/>
        <w:ind w:left="6379"/>
        <w:rPr>
          <w:b/>
        </w:rPr>
      </w:pPr>
      <w:r>
        <w:rPr>
          <w:b/>
        </w:rPr>
        <w:t>Приложение 7</w:t>
      </w:r>
    </w:p>
    <w:p w:rsidR="00BA3415" w:rsidRDefault="00BA3415" w:rsidP="00BA3415">
      <w:pPr>
        <w:spacing w:after="120"/>
        <w:ind w:left="6379"/>
        <w:rPr>
          <w:sz w:val="16"/>
        </w:rPr>
      </w:pPr>
      <w:r>
        <w:t xml:space="preserve">к Правилам осуществления расчетов по </w:t>
      </w:r>
      <w:r w:rsidRPr="007E352B">
        <w:t>торгам</w:t>
      </w:r>
      <w:r>
        <w:t xml:space="preserve"> иностранными валютами</w:t>
      </w:r>
    </w:p>
    <w:p w:rsidR="00774BEC" w:rsidRDefault="00774BEC" w:rsidP="00774BEC">
      <w:pPr>
        <w:spacing w:after="120"/>
        <w:jc w:val="center"/>
        <w:rPr>
          <w:rFonts w:cs="Arial"/>
          <w:i/>
          <w:color w:val="0000FF"/>
        </w:rPr>
      </w:pPr>
    </w:p>
    <w:p w:rsidR="00774BEC" w:rsidRPr="00F24588" w:rsidRDefault="00774BEC" w:rsidP="00774BEC">
      <w:pPr>
        <w:spacing w:after="120"/>
        <w:jc w:val="center"/>
        <w:rPr>
          <w:rFonts w:cs="Arial"/>
          <w:i/>
          <w:color w:val="0000FF"/>
        </w:rPr>
      </w:pPr>
      <w:bookmarkStart w:id="0" w:name="_GoBack"/>
      <w:bookmarkEnd w:id="0"/>
      <w:r w:rsidRPr="002644C6">
        <w:rPr>
          <w:rFonts w:cs="Arial"/>
          <w:i/>
          <w:color w:val="0000FF"/>
        </w:rPr>
        <w:t xml:space="preserve">(Данное приложение изменено решением Совета директоров Биржи от </w:t>
      </w:r>
      <w:r>
        <w:rPr>
          <w:rFonts w:cs="Arial"/>
          <w:i/>
          <w:color w:val="0000FF"/>
        </w:rPr>
        <w:t>12</w:t>
      </w:r>
      <w:r w:rsidRPr="002644C6">
        <w:rPr>
          <w:rFonts w:cs="Arial"/>
          <w:i/>
          <w:color w:val="0000FF"/>
        </w:rPr>
        <w:t xml:space="preserve"> </w:t>
      </w:r>
      <w:r>
        <w:rPr>
          <w:rFonts w:cs="Arial"/>
          <w:i/>
          <w:color w:val="0000FF"/>
        </w:rPr>
        <w:t>декабря</w:t>
      </w:r>
      <w:r w:rsidRPr="002644C6">
        <w:rPr>
          <w:rFonts w:cs="Arial"/>
          <w:i/>
          <w:color w:val="0000FF"/>
        </w:rPr>
        <w:t xml:space="preserve"> 201</w:t>
      </w:r>
      <w:r>
        <w:rPr>
          <w:rFonts w:cs="Arial"/>
          <w:i/>
          <w:color w:val="0000FF"/>
        </w:rPr>
        <w:t>8</w:t>
      </w:r>
      <w:r w:rsidRPr="002644C6">
        <w:rPr>
          <w:rFonts w:cs="Arial"/>
          <w:i/>
          <w:color w:val="0000FF"/>
        </w:rPr>
        <w:t xml:space="preserve"> года)</w:t>
      </w:r>
      <w:r>
        <w:rPr>
          <w:rFonts w:cs="Arial"/>
          <w:i/>
          <w:color w:val="0000FF"/>
        </w:rPr>
        <w:t>.</w:t>
      </w:r>
    </w:p>
    <w:p w:rsidR="00BA3415" w:rsidRPr="00444A94" w:rsidRDefault="00BA3415" w:rsidP="00BA3415">
      <w:pPr>
        <w:widowControl w:val="0"/>
        <w:spacing w:after="120"/>
        <w:rPr>
          <w:lang w:eastAsia="ru-RU"/>
        </w:rPr>
      </w:pPr>
    </w:p>
    <w:p w:rsidR="00BA3415" w:rsidRDefault="00BA3415" w:rsidP="00BA3415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>
        <w:rPr>
          <w:rFonts w:ascii="Times New Roman" w:hAnsi="Times New Roman"/>
          <w:b/>
          <w:color w:val="800000"/>
          <w:spacing w:val="60"/>
          <w:sz w:val="28"/>
        </w:rPr>
        <w:t>ЗАЯВЛЕНИЕ</w:t>
      </w:r>
    </w:p>
    <w:p w:rsidR="00BA3415" w:rsidRDefault="00BA3415" w:rsidP="00BA3415">
      <w:pPr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>
        <w:rPr>
          <w:rFonts w:ascii="Times New Roman" w:hAnsi="Times New Roman"/>
          <w:b/>
          <w:color w:val="800000"/>
          <w:sz w:val="24"/>
        </w:rPr>
        <w:t>на</w:t>
      </w:r>
      <w:r w:rsidRPr="00434F9D">
        <w:rPr>
          <w:rFonts w:ascii="Times New Roman" w:hAnsi="Times New Roman"/>
          <w:b/>
          <w:color w:val="800000"/>
          <w:sz w:val="24"/>
        </w:rPr>
        <w:t xml:space="preserve"> </w:t>
      </w:r>
      <w:r>
        <w:rPr>
          <w:rFonts w:ascii="Times New Roman" w:hAnsi="Times New Roman"/>
          <w:b/>
          <w:color w:val="800000"/>
          <w:sz w:val="24"/>
        </w:rPr>
        <w:t>возврат</w:t>
      </w:r>
      <w:r w:rsidRPr="00434F9D">
        <w:rPr>
          <w:rFonts w:ascii="Times New Roman" w:hAnsi="Times New Roman"/>
          <w:b/>
          <w:color w:val="800000"/>
          <w:sz w:val="24"/>
        </w:rPr>
        <w:t xml:space="preserve"> денег</w:t>
      </w:r>
      <w:r w:rsidRPr="00EE7B5F">
        <w:rPr>
          <w:rFonts w:ascii="Times New Roman" w:hAnsi="Times New Roman"/>
          <w:b/>
          <w:color w:val="800000"/>
          <w:sz w:val="24"/>
        </w:rPr>
        <w:t>/осуществление перевода денег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508"/>
        <w:gridCol w:w="3735"/>
      </w:tblGrid>
      <w:tr w:rsidR="00BA3415" w:rsidRPr="00503A30" w:rsidTr="00C07182">
        <w:tc>
          <w:tcPr>
            <w:tcW w:w="5508" w:type="dxa"/>
            <w:shd w:val="clear" w:color="auto" w:fill="FFFFFF"/>
            <w:vAlign w:val="bottom"/>
          </w:tcPr>
          <w:p w:rsidR="00BA3415" w:rsidRPr="00503A30" w:rsidRDefault="00BA3415" w:rsidP="00C07182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735" w:type="dxa"/>
            <w:shd w:val="clear" w:color="auto" w:fill="FFFFFF"/>
          </w:tcPr>
          <w:p w:rsidR="00BA3415" w:rsidRPr="00503A30" w:rsidRDefault="00BA3415" w:rsidP="00C07182">
            <w:pPr>
              <w:spacing w:before="60" w:after="120"/>
              <w:rPr>
                <w:sz w:val="18"/>
                <w:szCs w:val="18"/>
              </w:rPr>
            </w:pPr>
            <w:r w:rsidRPr="00503A30">
              <w:t>АО "Казахстанская фондовая биржа"</w:t>
            </w:r>
          </w:p>
        </w:tc>
      </w:tr>
      <w:tr w:rsidR="00BA3415" w:rsidRPr="00503A30" w:rsidTr="00C07182">
        <w:trPr>
          <w:trHeight w:val="720"/>
        </w:trPr>
        <w:tc>
          <w:tcPr>
            <w:tcW w:w="5508" w:type="dxa"/>
            <w:vMerge w:val="restart"/>
            <w:shd w:val="clear" w:color="auto" w:fill="FBE4D5"/>
            <w:vAlign w:val="bottom"/>
          </w:tcPr>
          <w:p w:rsidR="00BA3415" w:rsidRPr="00503A30" w:rsidRDefault="00BA3415" w:rsidP="00C07182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503A30">
              <w:rPr>
                <w:sz w:val="14"/>
                <w:szCs w:val="14"/>
              </w:rPr>
              <w:t>(наименование</w:t>
            </w:r>
            <w:r>
              <w:rPr>
                <w:sz w:val="14"/>
                <w:szCs w:val="14"/>
              </w:rPr>
              <w:t xml:space="preserve"> клирингового</w:t>
            </w:r>
            <w:r w:rsidRPr="00503A30">
              <w:rPr>
                <w:sz w:val="14"/>
                <w:szCs w:val="14"/>
              </w:rPr>
              <w:t xml:space="preserve"> участника)</w:t>
            </w:r>
          </w:p>
        </w:tc>
        <w:tc>
          <w:tcPr>
            <w:tcW w:w="3735" w:type="dxa"/>
            <w:shd w:val="clear" w:color="auto" w:fill="D0CECE"/>
          </w:tcPr>
          <w:p w:rsidR="00BA3415" w:rsidRPr="00503A30" w:rsidRDefault="00BA3415" w:rsidP="00C07182">
            <w:pPr>
              <w:spacing w:before="60" w:after="60"/>
            </w:pPr>
            <w:r w:rsidRPr="00503A30">
              <w:rPr>
                <w:sz w:val="18"/>
                <w:szCs w:val="18"/>
              </w:rPr>
              <w:t xml:space="preserve">Дата предоставления </w:t>
            </w:r>
            <w:r>
              <w:rPr>
                <w:sz w:val="18"/>
                <w:szCs w:val="18"/>
              </w:rPr>
              <w:t>заявления</w:t>
            </w:r>
          </w:p>
        </w:tc>
      </w:tr>
      <w:tr w:rsidR="00BA3415" w:rsidRPr="00503A30" w:rsidTr="00C07182">
        <w:trPr>
          <w:trHeight w:val="720"/>
        </w:trPr>
        <w:tc>
          <w:tcPr>
            <w:tcW w:w="5508" w:type="dxa"/>
            <w:vMerge/>
            <w:shd w:val="clear" w:color="auto" w:fill="FBE4D5"/>
          </w:tcPr>
          <w:p w:rsidR="00BA3415" w:rsidRPr="00503A30" w:rsidRDefault="00BA3415" w:rsidP="00C07182">
            <w:pPr>
              <w:spacing w:before="60" w:after="60"/>
            </w:pPr>
          </w:p>
        </w:tc>
        <w:tc>
          <w:tcPr>
            <w:tcW w:w="3735" w:type="dxa"/>
            <w:shd w:val="clear" w:color="auto" w:fill="D0CECE"/>
          </w:tcPr>
          <w:p w:rsidR="00BA3415" w:rsidRPr="00503A30" w:rsidRDefault="00BA3415" w:rsidP="00C07182">
            <w:pPr>
              <w:spacing w:before="60" w:after="60"/>
            </w:pPr>
            <w:r w:rsidRPr="00503A30">
              <w:rPr>
                <w:sz w:val="18"/>
                <w:szCs w:val="18"/>
              </w:rPr>
              <w:t xml:space="preserve">Время предоставления </w:t>
            </w:r>
            <w:r>
              <w:rPr>
                <w:sz w:val="18"/>
                <w:szCs w:val="18"/>
              </w:rPr>
              <w:t>заявления</w:t>
            </w:r>
          </w:p>
        </w:tc>
      </w:tr>
    </w:tbl>
    <w:p w:rsidR="00BA3415" w:rsidRDefault="00BA3415" w:rsidP="00BA3415">
      <w:pPr>
        <w:spacing w:after="120"/>
      </w:pPr>
    </w:p>
    <w:p w:rsidR="00BA3415" w:rsidRPr="00EE7B5F" w:rsidRDefault="00BA3415" w:rsidP="00BA3415">
      <w:pPr>
        <w:spacing w:after="120"/>
        <w:jc w:val="both"/>
      </w:pPr>
      <w:r w:rsidRPr="00503A30">
        <w:t xml:space="preserve">Настоящим вышеназванный </w:t>
      </w:r>
      <w:r>
        <w:t xml:space="preserve">клиринговый </w:t>
      </w:r>
      <w:r w:rsidRPr="00503A30">
        <w:t xml:space="preserve">участник </w:t>
      </w:r>
      <w:r>
        <w:t xml:space="preserve">просит Биржу осуществить </w:t>
      </w:r>
      <w:r w:rsidRPr="00EE7B5F">
        <w:t>возврат либо перевод в его пользу денег</w:t>
      </w:r>
      <w:proofErr w:type="gramStart"/>
      <w:r w:rsidRPr="00EE7B5F">
        <w:rPr>
          <w:vertAlign w:val="superscript"/>
        </w:rPr>
        <w:t>1</w:t>
      </w:r>
      <w:proofErr w:type="gramEnd"/>
      <w:r w:rsidRPr="00EE7B5F">
        <w:t>, с корреспондентских счетов Биржи, в следующих целях: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1384"/>
        <w:gridCol w:w="3929"/>
        <w:gridCol w:w="3930"/>
      </w:tblGrid>
      <w:tr w:rsidR="00BA3415" w:rsidRPr="00503A30" w:rsidTr="00C07182">
        <w:tc>
          <w:tcPr>
            <w:tcW w:w="1384" w:type="dxa"/>
            <w:shd w:val="clear" w:color="auto" w:fill="0070C0"/>
            <w:vAlign w:val="center"/>
          </w:tcPr>
          <w:p w:rsidR="00BA3415" w:rsidRPr="00EE7B5F" w:rsidRDefault="00BA3415" w:rsidP="00C07182">
            <w:pPr>
              <w:spacing w:before="60" w:after="60"/>
              <w:jc w:val="center"/>
            </w:pPr>
            <w:r w:rsidRPr="00EE7B5F">
              <w:rPr>
                <w:rFonts w:ascii="Arial Narrow" w:hAnsi="Arial Narrow"/>
                <w:b/>
                <w:color w:val="FFFFFF"/>
                <w:sz w:val="16"/>
                <w:szCs w:val="16"/>
              </w:rPr>
              <w:t>Валюта</w:t>
            </w:r>
          </w:p>
        </w:tc>
        <w:tc>
          <w:tcPr>
            <w:tcW w:w="3929" w:type="dxa"/>
            <w:shd w:val="clear" w:color="auto" w:fill="0070C0"/>
            <w:vAlign w:val="center"/>
          </w:tcPr>
          <w:p w:rsidR="00BA3415" w:rsidRPr="00EE7B5F" w:rsidRDefault="00BA3415" w:rsidP="00C07182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EE7B5F">
              <w:rPr>
                <w:rFonts w:ascii="Arial Narrow" w:hAnsi="Arial Narrow"/>
                <w:b/>
                <w:color w:val="FFFFFF"/>
                <w:sz w:val="16"/>
                <w:szCs w:val="16"/>
              </w:rPr>
              <w:t>Цель перевода денег</w:t>
            </w:r>
            <w:proofErr w:type="gramStart"/>
            <w:r w:rsidRPr="00EE7B5F">
              <w:rPr>
                <w:rFonts w:ascii="Arial Narrow" w:hAnsi="Arial Narrow"/>
                <w:b/>
                <w:color w:val="FFFFFF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30" w:type="dxa"/>
            <w:shd w:val="clear" w:color="auto" w:fill="0070C0"/>
            <w:vAlign w:val="center"/>
          </w:tcPr>
          <w:p w:rsidR="00BA3415" w:rsidRPr="005C515D" w:rsidRDefault="00BA3415" w:rsidP="00C071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E7B5F">
              <w:rPr>
                <w:rFonts w:ascii="Arial Narrow" w:hAnsi="Arial Narrow"/>
                <w:b/>
                <w:color w:val="FFFFFF"/>
                <w:sz w:val="16"/>
                <w:szCs w:val="16"/>
              </w:rPr>
              <w:t>Сумма валюты</w:t>
            </w:r>
            <w:proofErr w:type="gramStart"/>
            <w:r w:rsidRPr="00EE7B5F">
              <w:rPr>
                <w:rFonts w:ascii="Arial Narrow" w:hAnsi="Arial Narrow"/>
                <w:b/>
                <w:color w:val="FFFFFF"/>
                <w:sz w:val="16"/>
                <w:szCs w:val="16"/>
                <w:vertAlign w:val="superscript"/>
              </w:rPr>
              <w:t>4</w:t>
            </w:r>
            <w:proofErr w:type="gramEnd"/>
            <w:r w:rsidRPr="00EE7B5F">
              <w:rPr>
                <w:rFonts w:ascii="Arial Narrow" w:hAnsi="Arial Narrow"/>
                <w:b/>
                <w:color w:val="FFFFFF"/>
                <w:sz w:val="16"/>
                <w:szCs w:val="16"/>
                <w:vertAlign w:val="superscript"/>
              </w:rPr>
              <w:br/>
            </w:r>
            <w:r w:rsidRPr="00EE7B5F">
              <w:rPr>
                <w:rFonts w:ascii="Arial Narrow" w:hAnsi="Arial Narrow"/>
                <w:b/>
                <w:color w:val="FFFFFF"/>
                <w:sz w:val="16"/>
                <w:szCs w:val="16"/>
              </w:rPr>
              <w:t>(цифрами и прописью)</w:t>
            </w:r>
          </w:p>
        </w:tc>
      </w:tr>
      <w:tr w:rsidR="00BA3415" w:rsidRPr="00503A30" w:rsidTr="00C07182">
        <w:tc>
          <w:tcPr>
            <w:tcW w:w="1384" w:type="dxa"/>
            <w:vMerge w:val="restart"/>
            <w:shd w:val="clear" w:color="auto" w:fill="D0CECE"/>
          </w:tcPr>
          <w:p w:rsidR="00BA3415" w:rsidRDefault="00BA3415" w:rsidP="00C07182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BA3415" w:rsidRDefault="00BA3415" w:rsidP="00C07182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BA3415" w:rsidRDefault="00BA3415" w:rsidP="00C07182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BA3415" w:rsidRDefault="00BA3415" w:rsidP="00C07182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BA3415" w:rsidRPr="005C515D" w:rsidRDefault="00BA3415" w:rsidP="00C07182">
            <w:pPr>
              <w:spacing w:before="60" w:after="60"/>
              <w:jc w:val="center"/>
            </w:pPr>
            <w:r w:rsidRPr="000029E1">
              <w:rPr>
                <w:sz w:val="14"/>
                <w:szCs w:val="14"/>
              </w:rPr>
              <w:t>(код валюты</w:t>
            </w:r>
            <w:r>
              <w:rPr>
                <w:sz w:val="14"/>
                <w:szCs w:val="14"/>
                <w:vertAlign w:val="superscript"/>
              </w:rPr>
              <w:t>3</w:t>
            </w:r>
            <w:r w:rsidRPr="000029E1">
              <w:rPr>
                <w:sz w:val="14"/>
                <w:szCs w:val="14"/>
              </w:rPr>
              <w:t>)</w:t>
            </w:r>
          </w:p>
        </w:tc>
        <w:tc>
          <w:tcPr>
            <w:tcW w:w="3929" w:type="dxa"/>
            <w:shd w:val="clear" w:color="auto" w:fill="D0CECE"/>
            <w:vAlign w:val="center"/>
          </w:tcPr>
          <w:p w:rsidR="00BA3415" w:rsidRPr="00321FE0" w:rsidRDefault="00BA3415" w:rsidP="00C07182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 w:rsidRPr="00C74588">
              <w:t>возврат</w:t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t>маржевого</w:t>
            </w:r>
            <w:proofErr w:type="spellEnd"/>
            <w:r>
              <w:t xml:space="preserve"> обеспечения</w:t>
            </w:r>
            <w:proofErr w:type="gramStart"/>
            <w:r w:rsidRPr="00754C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30" w:type="dxa"/>
            <w:shd w:val="clear" w:color="auto" w:fill="D0CECE"/>
          </w:tcPr>
          <w:p w:rsidR="00BA3415" w:rsidRPr="00503A30" w:rsidRDefault="00BA3415" w:rsidP="00C07182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BA3415" w:rsidRPr="00503A30" w:rsidTr="00C07182">
        <w:tc>
          <w:tcPr>
            <w:tcW w:w="1384" w:type="dxa"/>
            <w:vMerge/>
            <w:shd w:val="clear" w:color="auto" w:fill="D0CECE"/>
          </w:tcPr>
          <w:p w:rsidR="00BA3415" w:rsidRDefault="00BA3415" w:rsidP="00C07182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929" w:type="dxa"/>
            <w:shd w:val="clear" w:color="auto" w:fill="D0CECE"/>
            <w:vAlign w:val="center"/>
          </w:tcPr>
          <w:p w:rsidR="00BA3415" w:rsidRPr="00754C07" w:rsidRDefault="00BA3415" w:rsidP="00C07182">
            <w:pPr>
              <w:tabs>
                <w:tab w:val="left" w:pos="288"/>
              </w:tabs>
              <w:spacing w:before="60" w:after="60"/>
              <w:ind w:left="288" w:hanging="288"/>
            </w:pPr>
            <w:r w:rsidRPr="00754C07">
              <w:rPr>
                <w:color w:val="FFFFFF"/>
              </w:rPr>
              <w:sym w:font="Wingdings 2" w:char="F0A2"/>
            </w:r>
            <w:r w:rsidRPr="00754C07">
              <w:rPr>
                <w:color w:val="FFFFFF"/>
              </w:rPr>
              <w:tab/>
            </w:r>
            <w:r w:rsidRPr="00C74588">
              <w:t xml:space="preserve">возврат </w:t>
            </w:r>
            <w:r>
              <w:t xml:space="preserve">обеспечения клирингового участника категории  </w:t>
            </w:r>
            <w:r w:rsidRPr="00503A30">
              <w:t>"</w:t>
            </w:r>
            <w:r>
              <w:t>с полным покрытием</w:t>
            </w:r>
            <w:r w:rsidRPr="00503A30">
              <w:t>"</w:t>
            </w:r>
            <w:r w:rsidRPr="00754C07">
              <w:rPr>
                <w:vertAlign w:val="superscript"/>
              </w:rPr>
              <w:t>2</w:t>
            </w:r>
          </w:p>
        </w:tc>
        <w:tc>
          <w:tcPr>
            <w:tcW w:w="3930" w:type="dxa"/>
            <w:shd w:val="clear" w:color="auto" w:fill="D0CECE"/>
          </w:tcPr>
          <w:p w:rsidR="00BA3415" w:rsidRPr="00503A30" w:rsidRDefault="00BA3415" w:rsidP="00C07182">
            <w:pPr>
              <w:spacing w:before="60" w:after="60"/>
              <w:jc w:val="right"/>
            </w:pPr>
          </w:p>
        </w:tc>
      </w:tr>
      <w:tr w:rsidR="00BA3415" w:rsidRPr="00503A30" w:rsidTr="00C07182">
        <w:tc>
          <w:tcPr>
            <w:tcW w:w="1384" w:type="dxa"/>
            <w:vMerge/>
            <w:shd w:val="clear" w:color="auto" w:fill="D0CECE"/>
          </w:tcPr>
          <w:p w:rsidR="00BA3415" w:rsidRDefault="00BA3415" w:rsidP="00C07182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929" w:type="dxa"/>
            <w:shd w:val="clear" w:color="auto" w:fill="D0CECE"/>
            <w:vAlign w:val="center"/>
          </w:tcPr>
          <w:p w:rsidR="00BA3415" w:rsidRPr="00754C07" w:rsidRDefault="00BA3415" w:rsidP="00C07182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</w:rPr>
            </w:pPr>
            <w:r w:rsidRPr="00754C07">
              <w:rPr>
                <w:color w:val="FFFFFF"/>
              </w:rPr>
              <w:sym w:font="Wingdings 2" w:char="F0A2"/>
            </w:r>
            <w:r w:rsidRPr="00754C07">
              <w:rPr>
                <w:color w:val="FFFFFF"/>
              </w:rPr>
              <w:tab/>
            </w:r>
            <w:r w:rsidRPr="00C74588">
              <w:t>возврат</w:t>
            </w:r>
            <w:r>
              <w:rPr>
                <w:color w:val="FFFFFF"/>
              </w:rPr>
              <w:t xml:space="preserve"> </w:t>
            </w:r>
            <w:r>
              <w:t>излишне перечисленных денег по биржевым торгам</w:t>
            </w:r>
            <w:proofErr w:type="gramStart"/>
            <w:r w:rsidRPr="00754C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30" w:type="dxa"/>
            <w:shd w:val="clear" w:color="auto" w:fill="D0CECE"/>
          </w:tcPr>
          <w:p w:rsidR="00BA3415" w:rsidRPr="00503A30" w:rsidRDefault="00BA3415" w:rsidP="00C07182">
            <w:pPr>
              <w:spacing w:before="60" w:after="60"/>
              <w:jc w:val="right"/>
            </w:pPr>
          </w:p>
        </w:tc>
      </w:tr>
      <w:tr w:rsidR="00BA3415" w:rsidRPr="00503A30" w:rsidTr="00C07182">
        <w:tc>
          <w:tcPr>
            <w:tcW w:w="1384" w:type="dxa"/>
            <w:vMerge/>
            <w:shd w:val="clear" w:color="auto" w:fill="D0CECE"/>
          </w:tcPr>
          <w:p w:rsidR="00BA3415" w:rsidRDefault="00BA3415" w:rsidP="00C07182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929" w:type="dxa"/>
            <w:shd w:val="clear" w:color="auto" w:fill="D0CECE"/>
            <w:vAlign w:val="center"/>
          </w:tcPr>
          <w:p w:rsidR="00BA3415" w:rsidRPr="00754C07" w:rsidRDefault="00BA3415" w:rsidP="00C07182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</w:rPr>
            </w:pPr>
            <w:r w:rsidRPr="00754C07">
              <w:rPr>
                <w:color w:val="FFFFFF"/>
              </w:rPr>
              <w:sym w:font="Wingdings 2" w:char="F0A2"/>
            </w:r>
            <w:r w:rsidRPr="00754C07">
              <w:rPr>
                <w:color w:val="FFFFFF"/>
              </w:rPr>
              <w:tab/>
            </w:r>
            <w:r w:rsidRPr="00C74588">
              <w:t>возврат</w:t>
            </w:r>
            <w:r>
              <w:t xml:space="preserve"> ранее сохраненных денег</w:t>
            </w:r>
            <w:proofErr w:type="gramStart"/>
            <w:r w:rsidRPr="00754C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30" w:type="dxa"/>
            <w:shd w:val="clear" w:color="auto" w:fill="D0CECE"/>
          </w:tcPr>
          <w:p w:rsidR="00BA3415" w:rsidRPr="00503A30" w:rsidRDefault="00BA3415" w:rsidP="00C07182">
            <w:pPr>
              <w:spacing w:before="60" w:after="60"/>
              <w:jc w:val="right"/>
            </w:pPr>
          </w:p>
        </w:tc>
      </w:tr>
      <w:tr w:rsidR="00BA3415" w:rsidRPr="00503A30" w:rsidTr="00C07182">
        <w:trPr>
          <w:trHeight w:val="388"/>
        </w:trPr>
        <w:tc>
          <w:tcPr>
            <w:tcW w:w="1384" w:type="dxa"/>
            <w:vMerge/>
            <w:shd w:val="clear" w:color="auto" w:fill="D0CECE"/>
          </w:tcPr>
          <w:p w:rsidR="00BA3415" w:rsidRDefault="00BA3415" w:rsidP="00C07182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929" w:type="dxa"/>
            <w:shd w:val="clear" w:color="auto" w:fill="D0CECE"/>
            <w:vAlign w:val="center"/>
          </w:tcPr>
          <w:p w:rsidR="00BA3415" w:rsidRPr="00754C07" w:rsidRDefault="00BA3415" w:rsidP="00C07182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</w:rPr>
            </w:pPr>
            <w:r w:rsidRPr="00754C07">
              <w:rPr>
                <w:color w:val="FFFFFF"/>
              </w:rPr>
              <w:sym w:font="Wingdings 2" w:char="F0A2"/>
            </w:r>
            <w:r w:rsidRPr="00754C07">
              <w:rPr>
                <w:color w:val="FFFFFF"/>
              </w:rPr>
              <w:tab/>
            </w:r>
            <w:r w:rsidRPr="006D3611">
              <w:t>перевод части нетто-требования по биржевым торгам</w:t>
            </w:r>
            <w:proofErr w:type="gramStart"/>
            <w:r w:rsidRPr="00754C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30" w:type="dxa"/>
            <w:shd w:val="clear" w:color="auto" w:fill="D0CECE"/>
          </w:tcPr>
          <w:p w:rsidR="00BA3415" w:rsidRPr="00503A30" w:rsidRDefault="00BA3415" w:rsidP="00C07182">
            <w:pPr>
              <w:spacing w:before="60" w:after="60"/>
              <w:jc w:val="right"/>
            </w:pPr>
          </w:p>
        </w:tc>
      </w:tr>
    </w:tbl>
    <w:p w:rsidR="00BA3415" w:rsidRPr="001D57B9" w:rsidRDefault="00BA3415" w:rsidP="00BA3415">
      <w:pPr>
        <w:tabs>
          <w:tab w:val="left" w:pos="288"/>
        </w:tabs>
        <w:spacing w:before="60"/>
        <w:ind w:left="288" w:hanging="288"/>
        <w:jc w:val="both"/>
        <w:rPr>
          <w:sz w:val="14"/>
          <w:szCs w:val="14"/>
        </w:rPr>
      </w:pPr>
      <w:r w:rsidRPr="009532AE">
        <w:rPr>
          <w:sz w:val="14"/>
          <w:szCs w:val="14"/>
          <w:vertAlign w:val="superscript"/>
        </w:rPr>
        <w:t>1</w:t>
      </w:r>
      <w:r w:rsidRPr="00D112A1">
        <w:rPr>
          <w:sz w:val="14"/>
          <w:szCs w:val="14"/>
          <w:vertAlign w:val="superscript"/>
        </w:rPr>
        <w:tab/>
      </w:r>
      <w:r w:rsidRPr="001D57B9">
        <w:rPr>
          <w:sz w:val="14"/>
          <w:szCs w:val="14"/>
        </w:rPr>
        <w:t>Возврат</w:t>
      </w:r>
      <w:r>
        <w:rPr>
          <w:sz w:val="14"/>
          <w:szCs w:val="14"/>
        </w:rPr>
        <w:t>/перевод</w:t>
      </w:r>
      <w:r w:rsidRPr="001D57B9">
        <w:rPr>
          <w:sz w:val="14"/>
          <w:szCs w:val="14"/>
        </w:rPr>
        <w:t xml:space="preserve"> денег клиринговым участникам осуществляется Биржей исключительно на банковские или корреспондентские счета клиринговых участников, реквизиты которых были представлены Бирже и которые являются действительными на дату предоставления данного заявления.</w:t>
      </w:r>
    </w:p>
    <w:p w:rsidR="00BA3415" w:rsidRPr="001D57B9" w:rsidRDefault="00BA3415" w:rsidP="00BA3415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  <w:r w:rsidRPr="009532AE">
        <w:rPr>
          <w:sz w:val="14"/>
          <w:szCs w:val="14"/>
          <w:vertAlign w:val="superscript"/>
        </w:rPr>
        <w:t>2</w:t>
      </w:r>
      <w:proofErr w:type="gramStart"/>
      <w:r w:rsidRPr="00D112A1">
        <w:rPr>
          <w:sz w:val="14"/>
          <w:szCs w:val="14"/>
          <w:vertAlign w:val="superscript"/>
        </w:rPr>
        <w:tab/>
      </w:r>
      <w:r w:rsidRPr="001D57B9">
        <w:rPr>
          <w:sz w:val="14"/>
          <w:szCs w:val="14"/>
        </w:rPr>
        <w:t>О</w:t>
      </w:r>
      <w:proofErr w:type="gramEnd"/>
      <w:r w:rsidRPr="001D57B9">
        <w:rPr>
          <w:sz w:val="14"/>
          <w:szCs w:val="14"/>
        </w:rPr>
        <w:t xml:space="preserve">тметить нужный вариант знаком </w:t>
      </w:r>
      <w:r w:rsidRPr="001D57B9">
        <w:rPr>
          <w:sz w:val="14"/>
          <w:szCs w:val="14"/>
        </w:rPr>
        <w:sym w:font="Wingdings 2" w:char="F04F"/>
      </w:r>
      <w:r w:rsidRPr="001D57B9">
        <w:rPr>
          <w:sz w:val="14"/>
          <w:szCs w:val="14"/>
        </w:rPr>
        <w:t xml:space="preserve"> или </w:t>
      </w:r>
      <w:r w:rsidRPr="001D57B9">
        <w:rPr>
          <w:sz w:val="14"/>
          <w:szCs w:val="14"/>
        </w:rPr>
        <w:sym w:font="Wingdings 2" w:char="F050"/>
      </w:r>
      <w:r w:rsidRPr="001D57B9">
        <w:rPr>
          <w:sz w:val="14"/>
          <w:szCs w:val="14"/>
        </w:rPr>
        <w:t xml:space="preserve">. </w:t>
      </w:r>
    </w:p>
    <w:p w:rsidR="00BA3415" w:rsidRPr="00BA3415" w:rsidRDefault="00BA3415" w:rsidP="00BA3415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Pr="00D112A1">
        <w:rPr>
          <w:sz w:val="14"/>
          <w:szCs w:val="14"/>
          <w:vertAlign w:val="superscript"/>
        </w:rPr>
        <w:tab/>
      </w:r>
      <w:r w:rsidRPr="001D57B9">
        <w:rPr>
          <w:sz w:val="14"/>
          <w:szCs w:val="14"/>
        </w:rPr>
        <w:t>Кодовое обозначение валюты – KZT, USD, EUR, RUB, CNY.</w:t>
      </w:r>
    </w:p>
    <w:p w:rsidR="00BA3415" w:rsidRPr="00BA3415" w:rsidRDefault="00BA3415" w:rsidP="00BA3415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</w:p>
    <w:p w:rsidR="00BA3415" w:rsidRPr="00BA3415" w:rsidRDefault="00BA3415" w:rsidP="00BA3415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</w:p>
    <w:p w:rsidR="00BA3415" w:rsidRPr="00BA3415" w:rsidRDefault="00BA3415" w:rsidP="00BA3415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</w:p>
    <w:p w:rsidR="00BA3415" w:rsidRPr="00BA3415" w:rsidRDefault="00BA3415" w:rsidP="00BA3415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508"/>
        <w:gridCol w:w="3735"/>
      </w:tblGrid>
      <w:tr w:rsidR="00BA3415" w:rsidRPr="00503A30" w:rsidTr="00C07182">
        <w:tc>
          <w:tcPr>
            <w:tcW w:w="5508" w:type="dxa"/>
            <w:shd w:val="clear" w:color="auto" w:fill="FBE4D5"/>
          </w:tcPr>
          <w:p w:rsidR="00BA3415" w:rsidRPr="00503A30" w:rsidRDefault="00BA3415" w:rsidP="00C07182">
            <w:pPr>
              <w:spacing w:before="60" w:after="60"/>
              <w:jc w:val="center"/>
            </w:pPr>
            <w:r w:rsidRPr="00503A30">
              <w:t xml:space="preserve">От </w:t>
            </w:r>
            <w:r>
              <w:t xml:space="preserve">клирингового </w:t>
            </w:r>
            <w:r w:rsidRPr="00503A30">
              <w:t xml:space="preserve">участника </w:t>
            </w:r>
          </w:p>
          <w:p w:rsidR="00BA3415" w:rsidRPr="00503A30" w:rsidRDefault="00BA3415" w:rsidP="00C07182">
            <w:pPr>
              <w:spacing w:before="60" w:after="60"/>
            </w:pPr>
          </w:p>
          <w:p w:rsidR="00BA3415" w:rsidRPr="00503A30" w:rsidRDefault="00BA3415" w:rsidP="00C07182">
            <w:pPr>
              <w:spacing w:before="60" w:after="60"/>
            </w:pPr>
          </w:p>
          <w:p w:rsidR="00BA3415" w:rsidRPr="00503A30" w:rsidRDefault="00BA3415" w:rsidP="00C07182">
            <w:pPr>
              <w:spacing w:before="60" w:after="60"/>
              <w:jc w:val="center"/>
            </w:pPr>
            <w:r w:rsidRPr="00503A30">
              <w:rPr>
                <w:sz w:val="14"/>
                <w:szCs w:val="14"/>
              </w:rPr>
              <w:t>(подпись, фамилия, инициалы трейдера)</w:t>
            </w:r>
          </w:p>
        </w:tc>
        <w:tc>
          <w:tcPr>
            <w:tcW w:w="3735" w:type="dxa"/>
            <w:shd w:val="clear" w:color="auto" w:fill="D0CECE"/>
          </w:tcPr>
          <w:p w:rsidR="00BA3415" w:rsidRPr="00503A30" w:rsidRDefault="00BA3415" w:rsidP="00C07182">
            <w:pPr>
              <w:spacing w:before="60" w:after="60"/>
              <w:jc w:val="center"/>
            </w:pPr>
            <w:r w:rsidRPr="00503A30">
              <w:t>Подпись трейдера проверена</w:t>
            </w:r>
          </w:p>
          <w:p w:rsidR="00BA3415" w:rsidRPr="00346CF2" w:rsidRDefault="00BA3415" w:rsidP="00C07182">
            <w:pPr>
              <w:tabs>
                <w:tab w:val="left" w:pos="446"/>
              </w:tabs>
              <w:spacing w:before="60" w:after="60"/>
              <w:rPr>
                <w:color w:val="FFFFFF"/>
                <w:sz w:val="18"/>
                <w:szCs w:val="18"/>
              </w:rPr>
            </w:pPr>
            <w:r w:rsidRPr="00EE7B5F">
              <w:rPr>
                <w:color w:val="FFFFFF"/>
                <w:sz w:val="18"/>
                <w:szCs w:val="18"/>
              </w:rPr>
              <w:sym w:font="Wingdings 2" w:char="F0A2"/>
            </w:r>
            <w:r w:rsidRPr="00EE7B5F">
              <w:rPr>
                <w:color w:val="FFFFFF"/>
                <w:sz w:val="18"/>
                <w:szCs w:val="18"/>
              </w:rPr>
              <w:tab/>
            </w:r>
            <w:r>
              <w:t>Принято</w:t>
            </w:r>
          </w:p>
          <w:p w:rsidR="00BA3415" w:rsidRDefault="00BA3415" w:rsidP="00C07182">
            <w:pPr>
              <w:tabs>
                <w:tab w:val="left" w:pos="446"/>
              </w:tabs>
              <w:spacing w:before="60" w:after="60"/>
            </w:pPr>
            <w:r w:rsidRPr="00EE7B5F">
              <w:rPr>
                <w:color w:val="FFFFFF"/>
                <w:sz w:val="18"/>
                <w:szCs w:val="18"/>
              </w:rPr>
              <w:sym w:font="Wingdings 2" w:char="F0A2"/>
            </w:r>
            <w:r w:rsidRPr="00EE7B5F">
              <w:rPr>
                <w:color w:val="FFFFFF"/>
                <w:sz w:val="18"/>
                <w:szCs w:val="18"/>
              </w:rPr>
              <w:tab/>
            </w:r>
            <w:r>
              <w:t>Не принято</w:t>
            </w:r>
          </w:p>
          <w:p w:rsidR="00BA3415" w:rsidRDefault="00BA3415" w:rsidP="00C07182">
            <w:pPr>
              <w:tabs>
                <w:tab w:val="left" w:pos="446"/>
              </w:tabs>
              <w:spacing w:before="60" w:after="60"/>
            </w:pPr>
            <w:r>
              <w:t>Причина отказа в приеме:</w:t>
            </w:r>
          </w:p>
          <w:p w:rsidR="00BA3415" w:rsidRDefault="00BA3415" w:rsidP="00C07182">
            <w:pPr>
              <w:tabs>
                <w:tab w:val="left" w:pos="446"/>
              </w:tabs>
              <w:spacing w:before="60" w:after="60"/>
            </w:pPr>
          </w:p>
          <w:p w:rsidR="00BA3415" w:rsidRPr="00503A30" w:rsidRDefault="00BA3415" w:rsidP="00C07182">
            <w:pPr>
              <w:spacing w:before="60" w:after="60"/>
              <w:jc w:val="center"/>
            </w:pPr>
            <w:r w:rsidRPr="00503A30">
              <w:rPr>
                <w:sz w:val="14"/>
                <w:szCs w:val="14"/>
              </w:rPr>
              <w:t xml:space="preserve">(личная печать проверившего работника Биржи, </w:t>
            </w:r>
            <w:r w:rsidRPr="00503A30">
              <w:rPr>
                <w:sz w:val="14"/>
                <w:szCs w:val="14"/>
              </w:rPr>
              <w:br/>
              <w:t>дата проверки)</w:t>
            </w:r>
          </w:p>
        </w:tc>
      </w:tr>
    </w:tbl>
    <w:p w:rsidR="00ED289B" w:rsidRDefault="00ED289B"/>
    <w:sectPr w:rsidR="00ED28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14" w:rsidRDefault="006D4E14" w:rsidP="00BA3415">
      <w:r>
        <w:separator/>
      </w:r>
    </w:p>
  </w:endnote>
  <w:endnote w:type="continuationSeparator" w:id="0">
    <w:p w:rsidR="006D4E14" w:rsidRDefault="006D4E14" w:rsidP="00BA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14" w:rsidRDefault="006D4E14" w:rsidP="00BA3415">
      <w:r>
        <w:separator/>
      </w:r>
    </w:p>
  </w:footnote>
  <w:footnote w:type="continuationSeparator" w:id="0">
    <w:p w:rsidR="006D4E14" w:rsidRDefault="006D4E14" w:rsidP="00BA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15" w:rsidRPr="00BC0FF6" w:rsidRDefault="00BA3415" w:rsidP="00BA3415">
    <w:pPr>
      <w:pStyle w:val="a3"/>
      <w:spacing w:after="120"/>
      <w:jc w:val="center"/>
      <w:rPr>
        <w:rFonts w:ascii="Times New Roman" w:hAnsi="Times New Roman"/>
        <w:b/>
        <w:color w:val="808080"/>
      </w:rPr>
    </w:pPr>
    <w:r w:rsidRPr="00BC0FF6">
      <w:rPr>
        <w:rFonts w:ascii="Times New Roman" w:hAnsi="Times New Roman"/>
        <w:b/>
        <w:color w:val="808080"/>
      </w:rPr>
      <w:t>Правила осуществления расчетов по торг</w:t>
    </w:r>
    <w:r>
      <w:rPr>
        <w:rFonts w:ascii="Times New Roman" w:hAnsi="Times New Roman"/>
        <w:b/>
        <w:color w:val="808080"/>
      </w:rPr>
      <w:t>ам</w:t>
    </w:r>
    <w:r w:rsidRPr="00BC0FF6">
      <w:rPr>
        <w:rFonts w:ascii="Times New Roman" w:hAnsi="Times New Roman"/>
        <w:b/>
        <w:color w:val="808080"/>
      </w:rPr>
      <w:t xml:space="preserve"> иностранными валютами</w:t>
    </w:r>
  </w:p>
  <w:p w:rsidR="00BA3415" w:rsidRDefault="00BA3415" w:rsidP="00BA3415">
    <w:pPr>
      <w:pStyle w:val="a3"/>
      <w:pBdr>
        <w:top w:val="double" w:sz="12" w:space="1" w:color="808080"/>
      </w:pBdr>
      <w:spacing w:after="120"/>
      <w:rPr>
        <w:color w:val="808080"/>
      </w:rPr>
    </w:pPr>
  </w:p>
  <w:p w:rsidR="00BA3415" w:rsidRDefault="00BA3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15"/>
    <w:rsid w:val="006D4E14"/>
    <w:rsid w:val="00774BEC"/>
    <w:rsid w:val="007E3F12"/>
    <w:rsid w:val="00BA3415"/>
    <w:rsid w:val="00E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1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415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4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3415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34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4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1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415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4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3415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34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Сайденова</dc:creator>
  <cp:lastModifiedBy>Майя Сайденова</cp:lastModifiedBy>
  <cp:revision>2</cp:revision>
  <dcterms:created xsi:type="dcterms:W3CDTF">2018-12-13T04:47:00Z</dcterms:created>
  <dcterms:modified xsi:type="dcterms:W3CDTF">2018-12-13T08:07:00Z</dcterms:modified>
</cp:coreProperties>
</file>